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A5" w:rsidRPr="00865CA5" w:rsidRDefault="00865CA5" w:rsidP="00865CA5">
      <w:r>
        <w:t>Project: La Merrill WCMC Pilot &amp; Feasibility Study</w:t>
      </w:r>
    </w:p>
    <w:p w:rsidR="00BF350C" w:rsidRPr="00D36B09" w:rsidRDefault="00E71C48" w:rsidP="00BF350C">
      <w:pPr>
        <w:jc w:val="center"/>
        <w:rPr>
          <w:b/>
        </w:rPr>
      </w:pPr>
      <w:r>
        <w:rPr>
          <w:b/>
        </w:rPr>
        <w:t xml:space="preserve">Summary Text for </w:t>
      </w:r>
      <w:r w:rsidR="001F0075">
        <w:rPr>
          <w:b/>
        </w:rPr>
        <w:t>BILE ACID</w:t>
      </w:r>
      <w:r w:rsidR="00BF350C" w:rsidRPr="00D36B09">
        <w:rPr>
          <w:b/>
        </w:rPr>
        <w:t xml:space="preserve"> </w:t>
      </w:r>
      <w:r w:rsidR="00F32A8D">
        <w:rPr>
          <w:b/>
        </w:rPr>
        <w:t xml:space="preserve">TISSUE </w:t>
      </w:r>
      <w:r w:rsidR="00BF350C" w:rsidRPr="00D36B09">
        <w:rPr>
          <w:b/>
        </w:rPr>
        <w:t>EXTRACTION &amp; ANALYSIS PROTOCOL</w:t>
      </w:r>
    </w:p>
    <w:p w:rsidR="00E71C48" w:rsidRPr="001F0075" w:rsidRDefault="00F32A8D" w:rsidP="001F0075">
      <w:pPr>
        <w:jc w:val="center"/>
        <w:rPr>
          <w:b/>
          <w:sz w:val="20"/>
          <w:szCs w:val="20"/>
        </w:rPr>
      </w:pPr>
      <w:r w:rsidRPr="00F32A8D">
        <w:t xml:space="preserve"> </w:t>
      </w:r>
      <w:r w:rsidR="001F0075" w:rsidRPr="00F415D5">
        <w:rPr>
          <w:sz w:val="20"/>
          <w:szCs w:val="20"/>
        </w:rPr>
        <w:t xml:space="preserve">Conducted in </w:t>
      </w:r>
      <w:r w:rsidR="001F0075">
        <w:rPr>
          <w:sz w:val="20"/>
          <w:szCs w:val="20"/>
        </w:rPr>
        <w:t>the laboratory</w:t>
      </w:r>
      <w:r w:rsidR="001F0075" w:rsidRPr="00F415D5">
        <w:rPr>
          <w:sz w:val="20"/>
          <w:szCs w:val="20"/>
        </w:rPr>
        <w:t xml:space="preserve"> </w:t>
      </w:r>
      <w:r w:rsidR="001F0075">
        <w:rPr>
          <w:sz w:val="20"/>
          <w:szCs w:val="20"/>
        </w:rPr>
        <w:t xml:space="preserve">of </w:t>
      </w:r>
      <w:r w:rsidR="001F0075" w:rsidRPr="00F415D5">
        <w:rPr>
          <w:sz w:val="20"/>
          <w:szCs w:val="20"/>
        </w:rPr>
        <w:t>Dr. J</w:t>
      </w:r>
      <w:r w:rsidR="001F0075">
        <w:rPr>
          <w:sz w:val="20"/>
          <w:szCs w:val="20"/>
        </w:rPr>
        <w:t>ohn</w:t>
      </w:r>
      <w:r w:rsidR="001F0075" w:rsidRPr="00F415D5">
        <w:rPr>
          <w:sz w:val="20"/>
          <w:szCs w:val="20"/>
        </w:rPr>
        <w:t xml:space="preserve"> W. N</w:t>
      </w:r>
      <w:r w:rsidR="001F0075">
        <w:rPr>
          <w:sz w:val="20"/>
          <w:szCs w:val="20"/>
        </w:rPr>
        <w:t xml:space="preserve">ewman </w:t>
      </w:r>
    </w:p>
    <w:p w:rsidR="00BF350C" w:rsidRPr="00D36B09" w:rsidRDefault="001F0075" w:rsidP="00D36B09">
      <w:pPr>
        <w:jc w:val="center"/>
        <w:rPr>
          <w:b/>
        </w:rPr>
      </w:pPr>
      <w:r>
        <w:rPr>
          <w:b/>
        </w:rPr>
        <w:t>Bile Acid</w:t>
      </w:r>
      <w:r w:rsidR="00BF350C" w:rsidRPr="00D36B09">
        <w:rPr>
          <w:b/>
        </w:rPr>
        <w:t xml:space="preserve"> Extraction</w:t>
      </w:r>
    </w:p>
    <w:p w:rsidR="00BF350C" w:rsidRPr="00B366A9" w:rsidRDefault="007E05DB" w:rsidP="00BF350C">
      <w:r w:rsidRPr="00B63E5D">
        <w:t xml:space="preserve">A 15 mg liver sample (n=1 female/litter  in 7 VEH and 8 DDT litters) was pulverized on dry ice, enriched with </w:t>
      </w:r>
      <w:proofErr w:type="spellStart"/>
      <w:r w:rsidRPr="00B63E5D">
        <w:t>deuterated</w:t>
      </w:r>
      <w:proofErr w:type="spellEnd"/>
      <w:r w:rsidRPr="00B63E5D">
        <w:t xml:space="preserve"> bile acid surrogates, butylated </w:t>
      </w:r>
      <w:proofErr w:type="spellStart"/>
      <w:r w:rsidRPr="00B63E5D">
        <w:t>hydroxytoluene</w:t>
      </w:r>
      <w:proofErr w:type="spellEnd"/>
      <w:r w:rsidRPr="00B63E5D">
        <w:t xml:space="preserve"> and </w:t>
      </w:r>
      <w:proofErr w:type="spellStart"/>
      <w:r w:rsidRPr="00B63E5D">
        <w:t>ethylinediaminetetraacetic</w:t>
      </w:r>
      <w:proofErr w:type="spellEnd"/>
      <w:r w:rsidRPr="00B63E5D">
        <w:t xml:space="preserve"> acid, and extracted twice with 500 </w:t>
      </w:r>
      <w:proofErr w:type="spellStart"/>
      <w:r w:rsidRPr="00B63E5D">
        <w:t>μL</w:t>
      </w:r>
      <w:proofErr w:type="spellEnd"/>
      <w:r w:rsidRPr="00B63E5D">
        <w:t xml:space="preserve"> methanol. The combined extract was dried, reconstituted in 100μL 50:50 </w:t>
      </w:r>
      <w:proofErr w:type="spellStart"/>
      <w:r w:rsidRPr="00B63E5D">
        <w:t>methanol</w:t>
      </w:r>
      <w:proofErr w:type="gramStart"/>
      <w:r w:rsidRPr="00B63E5D">
        <w:t>:acetonitrile</w:t>
      </w:r>
      <w:proofErr w:type="spellEnd"/>
      <w:proofErr w:type="gramEnd"/>
      <w:r w:rsidRPr="00B63E5D">
        <w:t xml:space="preserve"> with internal standards 1</w:t>
      </w:r>
      <w:r w:rsidRPr="00B63E5D">
        <w:rPr>
          <w:rFonts w:ascii="Cambria Math" w:hAnsi="Cambria Math" w:cs="Cambria Math"/>
        </w:rPr>
        <w:t>‐</w:t>
      </w:r>
      <w:r w:rsidRPr="00B63E5D">
        <w:t>phenyl</w:t>
      </w:r>
      <w:r w:rsidRPr="00B63E5D">
        <w:rPr>
          <w:rFonts w:ascii="Cambria Math" w:hAnsi="Cambria Math" w:cs="Cambria Math"/>
        </w:rPr>
        <w:t>‐</w:t>
      </w:r>
      <w:r w:rsidRPr="00B63E5D">
        <w:t>3</w:t>
      </w:r>
      <w:r w:rsidRPr="00B63E5D">
        <w:rPr>
          <w:rFonts w:ascii="Cambria Math" w:hAnsi="Cambria Math" w:cs="Cambria Math"/>
        </w:rPr>
        <w:t>‐</w:t>
      </w:r>
      <w:r w:rsidRPr="00B63E5D">
        <w:t>hexanoic acid urea </w:t>
      </w:r>
      <w:r w:rsidR="002B4757">
        <w:t xml:space="preserve">(PHAU) </w:t>
      </w:r>
      <w:r w:rsidRPr="00B63E5D">
        <w:t>and 1</w:t>
      </w:r>
      <w:r w:rsidRPr="00B63E5D">
        <w:rPr>
          <w:rFonts w:ascii="Cambria Math" w:hAnsi="Cambria Math" w:cs="Cambria Math"/>
        </w:rPr>
        <w:t>‐</w:t>
      </w:r>
      <w:r w:rsidRPr="00B63E5D">
        <w:t>cyclohexyl</w:t>
      </w:r>
      <w:r w:rsidRPr="00B63E5D">
        <w:rPr>
          <w:rFonts w:ascii="Cambria Math" w:hAnsi="Cambria Math" w:cs="Cambria Math"/>
        </w:rPr>
        <w:t>‐</w:t>
      </w:r>
      <w:r w:rsidRPr="00B63E5D">
        <w:t>3-dodecanoic acid urea (</w:t>
      </w:r>
      <w:r w:rsidR="002B4757">
        <w:t xml:space="preserve">CUDA) </w:t>
      </w:r>
      <w:r w:rsidRPr="00B63E5D">
        <w:t xml:space="preserve">and filtered at 0.1 µm. </w:t>
      </w:r>
      <w:r w:rsidR="00BF350C" w:rsidRPr="00B366A9">
        <w:t xml:space="preserve">Extracts were stored at -20ºC until analysis by </w:t>
      </w:r>
      <w:r w:rsidR="00BF350C">
        <w:t>UPLC-</w:t>
      </w:r>
      <w:r w:rsidR="00BF350C" w:rsidRPr="00B366A9">
        <w:t xml:space="preserve">MS/MS. The internal standard was used to quantify the recovery of surrogate standards. </w:t>
      </w:r>
      <w:r w:rsidR="002B4757" w:rsidRPr="00B366A9">
        <w:t xml:space="preserve">The internal standard was used to quantify the recovery of </w:t>
      </w:r>
      <w:r w:rsidR="002B4757">
        <w:t xml:space="preserve">the </w:t>
      </w:r>
      <w:proofErr w:type="spellStart"/>
      <w:r w:rsidR="002B4757">
        <w:t>deuterated</w:t>
      </w:r>
      <w:proofErr w:type="spellEnd"/>
      <w:r w:rsidR="002B4757">
        <w:t xml:space="preserve"> extraction </w:t>
      </w:r>
      <w:r w:rsidR="002B4757" w:rsidRPr="00B366A9">
        <w:t>surrogate</w:t>
      </w:r>
      <w:r w:rsidR="002B4757">
        <w:t>s by ratio response</w:t>
      </w:r>
    </w:p>
    <w:p w:rsidR="00BF350C" w:rsidRPr="00D36B09" w:rsidRDefault="001F0075" w:rsidP="00D36B09">
      <w:pPr>
        <w:jc w:val="center"/>
        <w:rPr>
          <w:b/>
        </w:rPr>
      </w:pPr>
      <w:r>
        <w:rPr>
          <w:b/>
        </w:rPr>
        <w:t>Bile Acid</w:t>
      </w:r>
      <w:r w:rsidR="00BF350C" w:rsidRPr="00D36B09">
        <w:rPr>
          <w:b/>
        </w:rPr>
        <w:t xml:space="preserve"> Analysis</w:t>
      </w:r>
    </w:p>
    <w:p w:rsidR="00F96B63" w:rsidRDefault="00BF350C" w:rsidP="00F96B63">
      <w:proofErr w:type="spellStart"/>
      <w:r w:rsidRPr="00B366A9">
        <w:t>Analytes</w:t>
      </w:r>
      <w:proofErr w:type="spellEnd"/>
      <w:r w:rsidRPr="00B366A9">
        <w:t xml:space="preserve"> in a </w:t>
      </w:r>
      <w:r w:rsidRPr="00B63E5D">
        <w:t xml:space="preserve">15 mg liver sample </w:t>
      </w:r>
      <w:r w:rsidRPr="00B366A9">
        <w:t xml:space="preserve">extract aliquot were separated </w:t>
      </w:r>
      <w:r w:rsidR="00547BC3">
        <w:t xml:space="preserve">with an </w:t>
      </w:r>
      <w:proofErr w:type="spellStart"/>
      <w:r w:rsidR="00547BC3">
        <w:t>Aquity</w:t>
      </w:r>
      <w:proofErr w:type="spellEnd"/>
      <w:r w:rsidR="00547BC3">
        <w:t xml:space="preserve"> C</w:t>
      </w:r>
      <w:r w:rsidR="00547BC3" w:rsidRPr="00881C23">
        <w:rPr>
          <w:vertAlign w:val="subscript"/>
        </w:rPr>
        <w:t>18</w:t>
      </w:r>
      <w:r w:rsidR="00547BC3">
        <w:rPr>
          <w:vertAlign w:val="subscript"/>
        </w:rPr>
        <w:t xml:space="preserve"> </w:t>
      </w:r>
      <w:r w:rsidR="00547BC3">
        <w:t>BEH 1.7</w:t>
      </w:r>
      <w:r w:rsidR="00547BC3" w:rsidRPr="00B366A9">
        <w:t>µ</w:t>
      </w:r>
      <w:r w:rsidR="00547BC3">
        <w:t xml:space="preserve">m 100mm x 2.1mm column </w:t>
      </w:r>
      <w:r w:rsidR="00D36B09">
        <w:t>utilizing</w:t>
      </w:r>
      <w:r w:rsidR="00D36B09" w:rsidRPr="00B366A9">
        <w:t xml:space="preserve"> </w:t>
      </w:r>
      <w:r w:rsidR="00D36B09">
        <w:t xml:space="preserve">a </w:t>
      </w:r>
      <w:r w:rsidR="00D36B09" w:rsidRPr="00B366A9">
        <w:t xml:space="preserve">Waters </w:t>
      </w:r>
      <w:proofErr w:type="spellStart"/>
      <w:r w:rsidR="00D36B09" w:rsidRPr="00B366A9">
        <w:t>Acquity</w:t>
      </w:r>
      <w:proofErr w:type="spellEnd"/>
      <w:r w:rsidR="00D36B09" w:rsidRPr="00B366A9">
        <w:t xml:space="preserve"> UPLC (Waters, Milford, MA)</w:t>
      </w:r>
      <w:r w:rsidR="00D36B09">
        <w:t xml:space="preserve"> </w:t>
      </w:r>
      <w:r w:rsidRPr="00B366A9">
        <w:t>with the solvent gradient described in Table 1</w:t>
      </w:r>
      <w:r w:rsidR="00D36B09">
        <w:t>, using modifications of previously published protocol</w:t>
      </w:r>
      <w:r w:rsidR="00806F2B">
        <w:t>s</w:t>
      </w:r>
      <w:r w:rsidR="00D36B09">
        <w:t xml:space="preserve"> (1</w:t>
      </w:r>
      <w:r w:rsidR="00806F2B">
        <w:t>,2</w:t>
      </w:r>
      <w:r w:rsidR="00D36B09">
        <w:t>)</w:t>
      </w:r>
      <w:r w:rsidRPr="00B366A9">
        <w:t xml:space="preserve">. </w:t>
      </w:r>
      <w:r w:rsidR="002B4757">
        <w:t xml:space="preserve">The </w:t>
      </w:r>
      <w:proofErr w:type="spellStart"/>
      <w:r w:rsidR="002B4757">
        <w:t>autosampler</w:t>
      </w:r>
      <w:proofErr w:type="spellEnd"/>
      <w:r w:rsidR="002B4757">
        <w:t xml:space="preserve"> was maintained</w:t>
      </w:r>
      <w:r w:rsidR="002B4757" w:rsidRPr="00B366A9">
        <w:t xml:space="preserve"> at 10ºC. </w:t>
      </w:r>
      <w:r w:rsidRPr="00B366A9">
        <w:t xml:space="preserve"> </w:t>
      </w:r>
      <w:r w:rsidR="002B4757">
        <w:t xml:space="preserve">Resolved </w:t>
      </w:r>
      <w:proofErr w:type="spellStart"/>
      <w:r w:rsidR="002B4757">
        <w:t>analytes</w:t>
      </w:r>
      <w:proofErr w:type="spellEnd"/>
      <w:r w:rsidR="002B4757">
        <w:t xml:space="preserve"> </w:t>
      </w:r>
      <w:r w:rsidRPr="00B366A9">
        <w:t xml:space="preserve">were detected by negative mode electrospray ionization and multiple reaction monitoring on a API 4000 </w:t>
      </w:r>
      <w:proofErr w:type="spellStart"/>
      <w:r w:rsidRPr="00B366A9">
        <w:t>QTrap</w:t>
      </w:r>
      <w:proofErr w:type="spellEnd"/>
      <w:r w:rsidRPr="00B366A9">
        <w:t xml:space="preserve"> (AB </w:t>
      </w:r>
      <w:proofErr w:type="spellStart"/>
      <w:r w:rsidRPr="00B366A9">
        <w:t>Sciex</w:t>
      </w:r>
      <w:proofErr w:type="spellEnd"/>
      <w:r w:rsidRPr="00B366A9">
        <w:t>, F</w:t>
      </w:r>
      <w:r w:rsidR="007E05DB">
        <w:t>ramingham, MA</w:t>
      </w:r>
      <w:r w:rsidRPr="00B366A9">
        <w:t xml:space="preserve">) using the following operating  parameters: Curtain gas = </w:t>
      </w:r>
      <w:r w:rsidR="007E05DB">
        <w:t>10</w:t>
      </w:r>
      <w:r w:rsidRPr="00B366A9">
        <w:t xml:space="preserve">.0 psi, temperature = </w:t>
      </w:r>
      <w:r w:rsidR="007E05DB">
        <w:t>600</w:t>
      </w:r>
      <w:r w:rsidRPr="00B366A9">
        <w:t xml:space="preserve"> </w:t>
      </w:r>
      <w:r w:rsidRPr="00B366A9">
        <w:rPr>
          <w:rFonts w:cs="Arial"/>
        </w:rPr>
        <w:t>°</w:t>
      </w:r>
      <w:r w:rsidRPr="00B366A9">
        <w:t>C</w:t>
      </w:r>
      <w:r>
        <w:t xml:space="preserve">, </w:t>
      </w:r>
      <w:proofErr w:type="spellStart"/>
      <w:r w:rsidR="00547BC3">
        <w:t>IonSpray</w:t>
      </w:r>
      <w:proofErr w:type="spellEnd"/>
      <w:r w:rsidR="00547BC3">
        <w:t xml:space="preserve"> voltage = -4500.00, </w:t>
      </w:r>
      <w:r w:rsidR="00547BC3" w:rsidRPr="00B366A9">
        <w:t xml:space="preserve">collision gas = </w:t>
      </w:r>
      <w:r w:rsidR="00547BC3">
        <w:t>medium</w:t>
      </w:r>
      <w:r w:rsidR="00547BC3" w:rsidRPr="00B366A9">
        <w:t xml:space="preserve">, </w:t>
      </w:r>
      <w:r>
        <w:t xml:space="preserve">ion source gas 1 </w:t>
      </w:r>
      <w:r w:rsidR="007E05DB">
        <w:t>&amp; 2 = 4</w:t>
      </w:r>
      <w:r w:rsidRPr="00B366A9">
        <w:t xml:space="preserve">0.0 psi, and entrance potential = </w:t>
      </w:r>
      <w:r>
        <w:t>-</w:t>
      </w:r>
      <w:r w:rsidRPr="00B366A9">
        <w:t xml:space="preserve">10.0 V. </w:t>
      </w:r>
      <w:proofErr w:type="spellStart"/>
      <w:r w:rsidRPr="00B366A9">
        <w:t>Analyte</w:t>
      </w:r>
      <w:proofErr w:type="spellEnd"/>
      <w:r w:rsidRPr="00B366A9">
        <w:t xml:space="preserve"> retention times, mass </w:t>
      </w:r>
      <w:r w:rsidR="007E05DB">
        <w:t xml:space="preserve">transitions, collision energies, cell exit and </w:t>
      </w:r>
      <w:proofErr w:type="spellStart"/>
      <w:r>
        <w:t>declustering</w:t>
      </w:r>
      <w:proofErr w:type="spellEnd"/>
      <w:r>
        <w:t xml:space="preserve"> potentials</w:t>
      </w:r>
      <w:r w:rsidRPr="00B366A9">
        <w:t xml:space="preserve">, dwell times, and analytical surrogate associations for each </w:t>
      </w:r>
      <w:proofErr w:type="spellStart"/>
      <w:r w:rsidRPr="00B366A9">
        <w:t>analyte</w:t>
      </w:r>
      <w:proofErr w:type="spellEnd"/>
      <w:r w:rsidRPr="00B366A9">
        <w:t xml:space="preserve"> are shown in Table 2. </w:t>
      </w:r>
      <w:proofErr w:type="spellStart"/>
      <w:r w:rsidRPr="006A4DC8">
        <w:t>Analytes</w:t>
      </w:r>
      <w:proofErr w:type="spellEnd"/>
      <w:r w:rsidRPr="006A4DC8">
        <w:t xml:space="preserve"> were quantified using </w:t>
      </w:r>
      <w:r w:rsidR="00547BC3">
        <w:t>isotope dilution and</w:t>
      </w:r>
      <w:r w:rsidR="00547BC3" w:rsidRPr="006A4DC8">
        <w:t xml:space="preserve"> internal standard method</w:t>
      </w:r>
      <w:r w:rsidR="00547BC3">
        <w:t>ology</w:t>
      </w:r>
      <w:r w:rsidR="00547BC3" w:rsidRPr="006A4DC8">
        <w:t xml:space="preserve"> </w:t>
      </w:r>
      <w:r w:rsidR="00547BC3">
        <w:t>with</w:t>
      </w:r>
      <w:r w:rsidRPr="006A4DC8">
        <w:t xml:space="preserve"> 5 to 7 point calibration curves (r2 </w:t>
      </w:r>
      <w:r>
        <w:t>≥ 0.997).</w:t>
      </w:r>
      <w:r w:rsidRPr="00B366A9">
        <w:t xml:space="preserve"> </w:t>
      </w:r>
      <w:proofErr w:type="spellStart"/>
      <w:r w:rsidR="00547BC3" w:rsidRPr="00B366A9">
        <w:t>Calibrants</w:t>
      </w:r>
      <w:proofErr w:type="spellEnd"/>
      <w:r w:rsidR="00547BC3" w:rsidRPr="00B366A9">
        <w:t xml:space="preserve"> and internal standards were either synthesized [</w:t>
      </w:r>
      <w:r w:rsidR="00547BC3">
        <w:t>PHAU</w:t>
      </w:r>
      <w:r w:rsidR="00547BC3" w:rsidRPr="00B366A9">
        <w:t xml:space="preserve"> and CUDA]</w:t>
      </w:r>
      <w:r w:rsidRPr="00B366A9">
        <w:t xml:space="preserve"> purchased from </w:t>
      </w:r>
      <w:proofErr w:type="spellStart"/>
      <w:r w:rsidR="007E05DB" w:rsidRPr="00B63E5D">
        <w:t>Steraloid</w:t>
      </w:r>
      <w:proofErr w:type="spellEnd"/>
      <w:r w:rsidR="007E05DB" w:rsidRPr="00B63E5D">
        <w:t xml:space="preserve"> Inc. (Newport, RI), Si</w:t>
      </w:r>
      <w:r w:rsidR="007E05DB">
        <w:t>gma-Aldrich (St. Louis, MO), and</w:t>
      </w:r>
      <w:r w:rsidR="007E05DB" w:rsidRPr="00B63E5D">
        <w:t xml:space="preserve"> Medical Isotopes, Inc. (Pelham, NH)</w:t>
      </w:r>
      <w:r w:rsidR="007E05DB">
        <w:t>.</w:t>
      </w:r>
      <w:r w:rsidR="00F96B63">
        <w:t xml:space="preserve"> </w:t>
      </w:r>
      <w:r w:rsidR="00F96B63" w:rsidRPr="00F96B63">
        <w:t xml:space="preserve">Data was processed utilizing AB </w:t>
      </w:r>
      <w:proofErr w:type="spellStart"/>
      <w:r w:rsidR="00F96B63" w:rsidRPr="00F96B63">
        <w:t>Sciex</w:t>
      </w:r>
      <w:proofErr w:type="spellEnd"/>
      <w:r w:rsidR="00F96B63" w:rsidRPr="00F96B63">
        <w:t xml:space="preserve"> Analyst version 1.6.2.</w:t>
      </w:r>
      <w:r w:rsidR="00F96B63">
        <w:t xml:space="preserve"> Surrogate recoveries can be viewed in Table 3.</w:t>
      </w:r>
    </w:p>
    <w:p w:rsidR="00D36B09" w:rsidRDefault="00D36B09" w:rsidP="00D36B09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Garcia-</w:t>
      </w:r>
      <w:proofErr w:type="spellStart"/>
      <w:r>
        <w:rPr>
          <w:sz w:val="18"/>
          <w:szCs w:val="18"/>
        </w:rPr>
        <w:t>Ca</w:t>
      </w:r>
      <w:r w:rsidR="00600130">
        <w:rPr>
          <w:sz w:val="18"/>
          <w:szCs w:val="18"/>
        </w:rPr>
        <w:t>ñ</w:t>
      </w:r>
      <w:r>
        <w:rPr>
          <w:sz w:val="18"/>
          <w:szCs w:val="18"/>
        </w:rPr>
        <w:t>averas</w:t>
      </w:r>
      <w:proofErr w:type="spellEnd"/>
      <w:r w:rsidRPr="00FD0C89">
        <w:rPr>
          <w:sz w:val="18"/>
          <w:szCs w:val="18"/>
        </w:rPr>
        <w:t xml:space="preserve"> </w:t>
      </w:r>
      <w:r>
        <w:rPr>
          <w:sz w:val="18"/>
          <w:szCs w:val="18"/>
        </w:rPr>
        <w:t>JC et al (2012</w:t>
      </w:r>
      <w:r w:rsidRPr="00FD0C89">
        <w:rPr>
          <w:sz w:val="18"/>
          <w:szCs w:val="18"/>
        </w:rPr>
        <w:t xml:space="preserve">). </w:t>
      </w:r>
      <w:r>
        <w:rPr>
          <w:sz w:val="18"/>
          <w:szCs w:val="18"/>
        </w:rPr>
        <w:t>Targeted profiling of circulating and hepatic bile acids in human, mouse, and rat using a UPLC-MRM-MS validated method</w:t>
      </w:r>
      <w:r w:rsidRPr="00FD0C89">
        <w:rPr>
          <w:sz w:val="18"/>
          <w:szCs w:val="18"/>
        </w:rPr>
        <w:t xml:space="preserve">. </w:t>
      </w:r>
      <w:r w:rsidRPr="00FD0C89">
        <w:rPr>
          <w:i/>
          <w:sz w:val="18"/>
          <w:szCs w:val="18"/>
        </w:rPr>
        <w:t xml:space="preserve">J </w:t>
      </w:r>
      <w:r>
        <w:rPr>
          <w:i/>
          <w:sz w:val="18"/>
          <w:szCs w:val="18"/>
        </w:rPr>
        <w:t>Lipid Res</w:t>
      </w:r>
      <w:r>
        <w:rPr>
          <w:sz w:val="18"/>
          <w:szCs w:val="18"/>
        </w:rPr>
        <w:t>. 53</w:t>
      </w:r>
      <w:r w:rsidRPr="00FD0C89">
        <w:rPr>
          <w:sz w:val="18"/>
          <w:szCs w:val="18"/>
        </w:rPr>
        <w:t>:2</w:t>
      </w:r>
      <w:r>
        <w:rPr>
          <w:sz w:val="18"/>
          <w:szCs w:val="18"/>
        </w:rPr>
        <w:t>231-41</w:t>
      </w:r>
    </w:p>
    <w:p w:rsidR="00BD0812" w:rsidRDefault="00806F2B" w:rsidP="00F96B63">
      <w:pPr>
        <w:pStyle w:val="ListParagraph"/>
        <w:numPr>
          <w:ilvl w:val="0"/>
          <w:numId w:val="1"/>
        </w:numPr>
      </w:pPr>
      <w:r w:rsidRPr="00600130">
        <w:rPr>
          <w:sz w:val="18"/>
          <w:szCs w:val="18"/>
        </w:rPr>
        <w:t>La Merrill MA et al (2014). Perinatal exposure of mice to the pesticide DDT impairs energy expenditure and metabolism in adult female offspring. PLOS ONE.</w:t>
      </w:r>
    </w:p>
    <w:p w:rsidR="00BD0812" w:rsidRDefault="00BD0812" w:rsidP="00F96B63"/>
    <w:p w:rsidR="00BD0812" w:rsidRDefault="00BD0812" w:rsidP="00F96B63"/>
    <w:p w:rsidR="00BD0812" w:rsidRDefault="00BD0812" w:rsidP="00F96B63"/>
    <w:p w:rsidR="00BD0812" w:rsidRDefault="00BD0812" w:rsidP="00F96B63"/>
    <w:p w:rsidR="00BD0812" w:rsidRDefault="00BD0812" w:rsidP="00F96B63"/>
    <w:tbl>
      <w:tblPr>
        <w:tblW w:w="4041" w:type="dxa"/>
        <w:tblInd w:w="93" w:type="dxa"/>
        <w:tblLook w:val="04A0" w:firstRow="1" w:lastRow="0" w:firstColumn="1" w:lastColumn="0" w:noHBand="0" w:noVBand="1"/>
      </w:tblPr>
      <w:tblGrid>
        <w:gridCol w:w="1896"/>
        <w:gridCol w:w="602"/>
        <w:gridCol w:w="583"/>
        <w:gridCol w:w="960"/>
      </w:tblGrid>
      <w:tr w:rsidR="00BD0812" w:rsidRPr="00BD0812" w:rsidTr="00BD0812">
        <w:trPr>
          <w:trHeight w:val="315"/>
        </w:trPr>
        <w:tc>
          <w:tcPr>
            <w:tcW w:w="308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1.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>UPLC parameters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15"/>
        </w:trPr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Time (min)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A%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B%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15"/>
        </w:trPr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15"/>
        </w:trPr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3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6001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Solvent A = 0.1% </w:t>
            </w:r>
            <w:r w:rsidR="00600130">
              <w:rPr>
                <w:rFonts w:ascii="Calibri" w:eastAsia="Times New Roman" w:hAnsi="Calibri" w:cs="Times New Roman"/>
                <w:color w:val="000000"/>
              </w:rPr>
              <w:t>Formic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3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6001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Solvent B = 0.1% </w:t>
            </w:r>
            <w:r w:rsidR="00600130">
              <w:rPr>
                <w:rFonts w:ascii="Calibri" w:eastAsia="Times New Roman" w:hAnsi="Calibri" w:cs="Times New Roman"/>
                <w:color w:val="000000"/>
              </w:rPr>
              <w:t>Formic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4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Acetonitrile; flow rate = 0.4 mL/min,</w:t>
            </w:r>
          </w:p>
        </w:tc>
      </w:tr>
      <w:tr w:rsidR="00BD0812" w:rsidRPr="00BD0812" w:rsidTr="00BD0812">
        <w:trPr>
          <w:trHeight w:val="300"/>
        </w:trPr>
        <w:tc>
          <w:tcPr>
            <w:tcW w:w="4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column 2.1 X 100mm, 1.7 µm BEH C18 </w:t>
            </w:r>
          </w:p>
        </w:tc>
      </w:tr>
      <w:tr w:rsidR="00BD0812" w:rsidRPr="00BD0812" w:rsidTr="00BD0812">
        <w:trPr>
          <w:trHeight w:val="300"/>
        </w:trPr>
        <w:tc>
          <w:tcPr>
            <w:tcW w:w="3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(Waters, Milford, MA), column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trHeight w:val="300"/>
        </w:trPr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temp = 60 °C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F350C" w:rsidRPr="00B366A9" w:rsidRDefault="00BF350C" w:rsidP="00BF350C"/>
    <w:p w:rsidR="00BD0812" w:rsidRDefault="00371F45">
      <w:pPr>
        <w:sectPr w:rsidR="00BD0812" w:rsidSect="008C375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234"/>
        <w:gridCol w:w="2305"/>
        <w:gridCol w:w="1035"/>
        <w:gridCol w:w="1442"/>
        <w:gridCol w:w="111"/>
        <w:gridCol w:w="111"/>
        <w:gridCol w:w="1393"/>
        <w:gridCol w:w="111"/>
        <w:gridCol w:w="111"/>
        <w:gridCol w:w="1025"/>
        <w:gridCol w:w="311"/>
        <w:gridCol w:w="311"/>
        <w:gridCol w:w="876"/>
        <w:gridCol w:w="1147"/>
      </w:tblGrid>
      <w:tr w:rsidR="00BD0812" w:rsidRPr="00BD0812" w:rsidTr="00BD0812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2.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UPLC/Electrospray ionization QTRAP </w:t>
            </w:r>
            <w:proofErr w:type="spellStart"/>
            <w:r w:rsidR="00E71C48">
              <w:rPr>
                <w:color w:val="000000"/>
              </w:rPr>
              <w:t>analyte</w:t>
            </w:r>
            <w:proofErr w:type="spellEnd"/>
            <w:r w:rsidR="00E71C48">
              <w:rPr>
                <w:color w:val="000000"/>
              </w:rPr>
              <w:t xml:space="preserve"> and instrument 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>parameters*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D0812" w:rsidRPr="00BD0812" w:rsidTr="00BD0812">
        <w:trPr>
          <w:trHeight w:val="9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Common Abbreviation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tR</w:t>
            </w:r>
            <w:proofErr w:type="spellEnd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Declustering</w:t>
            </w:r>
            <w:proofErr w:type="spellEnd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(V)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Collision  (V)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Cell Exit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Dwell (</w:t>
            </w:r>
            <w:proofErr w:type="spellStart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msec</w:t>
            </w:r>
            <w:proofErr w:type="spellEnd"/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b/>
                <w:bCs/>
                <w:color w:val="000000"/>
              </w:rPr>
              <w:t>ISTD</w:t>
            </w:r>
            <w:r w:rsidRPr="00BD0812">
              <w:rPr>
                <w:rFonts w:ascii="Calibri" w:eastAsia="Times New Roman" w:hAnsi="Calibri" w:cs="Times New Roman"/>
                <w:color w:val="000000"/>
              </w:rPr>
              <w:t>†</w:t>
            </w:r>
          </w:p>
        </w:tc>
      </w:tr>
      <w:tr w:rsidR="00BD0812" w:rsidRPr="00BD0812" w:rsidTr="00BD08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1-Phenyl 3-Hexadecanoic Acid Urea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PHAU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249.2 &gt; 130.1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</w:tr>
      <w:tr w:rsidR="00BD0812" w:rsidRPr="00BD0812" w:rsidTr="00BD08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Taurodehydrocholic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TDHCA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2.82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508.2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>-ω-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T-ω-MCA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3.33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514.3 &gt;80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>-α-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T-α-MCA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3.47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514.3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>-β-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T-β-MCA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3.56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514.3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Glycodehydrocholic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screen††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GDHCA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3.74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458.3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Taurohyocholic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THCA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4.56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514.3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Tauroursodeoxycholic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TUDCA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5.48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498.3 &gt;80</w:t>
            </w:r>
          </w:p>
        </w:tc>
        <w:tc>
          <w:tcPr>
            <w:tcW w:w="0" w:type="auto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Taurohyodeoxycholic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THDCA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5.58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498.3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Taurocholic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5.91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514.3 &gt; 80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Dehydrocholic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DHCA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5.94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Glycohyocholic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GHCA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6.51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464.3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ω-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ω-MCA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6.96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407.3 &gt; 407.3</w:t>
            </w:r>
          </w:p>
        </w:tc>
        <w:tc>
          <w:tcPr>
            <w:tcW w:w="0" w:type="auto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Glycoursodeoxycholic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GUDCA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448.3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α-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α-MCA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407.3 &gt; 407.3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Glycohyodeoxycholic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GHDCA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448.3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GCA-d4</w:t>
            </w:r>
          </w:p>
        </w:tc>
      </w:tr>
      <w:tr w:rsidR="00BD0812" w:rsidRPr="00BD0812" w:rsidTr="00BD081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acid-d4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468.3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PHAU</w:t>
            </w:r>
          </w:p>
        </w:tc>
      </w:tr>
      <w:tr w:rsidR="00BD0812" w:rsidRPr="00BD0812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Glycocholic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7.41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464.3 &gt; 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GCA-d4</w:t>
            </w:r>
          </w:p>
        </w:tc>
      </w:tr>
      <w:tr w:rsidR="00BD0812" w:rsidRPr="00BD0812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β-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Muricholic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β-MCA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7.71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407.3 &gt; 407.3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* - 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were separated under conditions described in Table I. Collision-induced dissociation was performed with nitrogen </w:t>
            </w: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D0812">
              <w:rPr>
                <w:rFonts w:ascii="Calibri" w:eastAsia="Times New Roman" w:hAnsi="Calibri" w:cs="Times New Roman"/>
                <w:color w:val="000000"/>
              </w:rPr>
              <w:t>at</w:t>
            </w:r>
            <w:proofErr w:type="gram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a pressure of 2.3 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mTorr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. Dashed lines indicate separation between mass </w:t>
            </w:r>
            <w:proofErr w:type="gramStart"/>
            <w:r w:rsidRPr="00BD0812">
              <w:rPr>
                <w:rFonts w:ascii="Calibri" w:eastAsia="Times New Roman" w:hAnsi="Calibri" w:cs="Times New Roman"/>
                <w:color w:val="000000"/>
              </w:rPr>
              <w:t>spectral  multiple</w:t>
            </w:r>
            <w:proofErr w:type="gram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 reaction monitoring functions.</w:t>
            </w: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† - Internal Standards (ISTD) - </w:t>
            </w:r>
            <w:proofErr w:type="spellStart"/>
            <w:r w:rsidRPr="00BD0812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were corrected for recoveries of listed surrogates. 1-Cyclohexylureido,3-dodecanoic acid </w:t>
            </w: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(CUDA) and 1-Phenyl 3-Hexadecanoic Acid Urea (PHAU) were introduced immediately prior to analysis and used to quantify </w:t>
            </w: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D0812">
              <w:rPr>
                <w:rFonts w:ascii="Calibri" w:eastAsia="Times New Roman" w:hAnsi="Calibri" w:cs="Times New Roman"/>
                <w:color w:val="000000"/>
              </w:rPr>
              <w:t>surrogate</w:t>
            </w:r>
            <w:proofErr w:type="gram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recoveries.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†† - Compounds labeled as "screen" are compounds for which we did not have calibration standards. The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D0812" w:rsidRPr="00BD0812" w:rsidTr="00BD0812">
        <w:trPr>
          <w:gridAfter w:val="1"/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D0812">
              <w:rPr>
                <w:rFonts w:ascii="Calibri" w:eastAsia="Times New Roman" w:hAnsi="Calibri" w:cs="Times New Roman"/>
                <w:color w:val="000000"/>
              </w:rPr>
              <w:t>compounds</w:t>
            </w:r>
            <w:proofErr w:type="gramEnd"/>
            <w:r w:rsidRPr="00BD0812">
              <w:rPr>
                <w:rFonts w:ascii="Calibri" w:eastAsia="Times New Roman" w:hAnsi="Calibri" w:cs="Times New Roman"/>
                <w:color w:val="000000"/>
              </w:rPr>
              <w:t xml:space="preserve"> were identified based on retention time and transition (Da) and produced qualitative data.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812" w:rsidRPr="00BD0812" w:rsidRDefault="00BD0812" w:rsidP="00BD0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D0812" w:rsidRDefault="00BD0812">
      <w:r>
        <w:br w:type="page"/>
      </w:r>
    </w:p>
    <w:p w:rsidR="007901E9" w:rsidRDefault="007901E9">
      <w:pPr>
        <w:sectPr w:rsidR="007901E9" w:rsidSect="00BD081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969"/>
        <w:gridCol w:w="2166"/>
        <w:gridCol w:w="945"/>
        <w:gridCol w:w="1683"/>
        <w:gridCol w:w="1521"/>
        <w:gridCol w:w="1153"/>
        <w:gridCol w:w="864"/>
        <w:gridCol w:w="1075"/>
        <w:gridCol w:w="1147"/>
      </w:tblGrid>
      <w:tr w:rsidR="00061B41" w:rsidRPr="00061B41" w:rsidTr="00061B41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2.</w:t>
            </w: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UPLC/Electrospray ionization QTRAP </w:t>
            </w:r>
            <w:proofErr w:type="spellStart"/>
            <w:r w:rsidR="00E71C48">
              <w:rPr>
                <w:color w:val="000000"/>
              </w:rPr>
              <w:t>analyte</w:t>
            </w:r>
            <w:proofErr w:type="spellEnd"/>
            <w:r w:rsidR="00E71C48">
              <w:rPr>
                <w:color w:val="000000"/>
              </w:rPr>
              <w:t xml:space="preserve"> and instrument </w:t>
            </w:r>
            <w:r w:rsidRPr="00061B41">
              <w:rPr>
                <w:rFonts w:ascii="Calibri" w:eastAsia="Times New Roman" w:hAnsi="Calibri" w:cs="Times New Roman"/>
                <w:color w:val="000000"/>
              </w:rPr>
              <w:t>parameters (continued)*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61B41" w:rsidRPr="00061B41" w:rsidTr="00061B41">
        <w:trPr>
          <w:trHeight w:val="9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Common Abbreviation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tR</w:t>
            </w:r>
            <w:proofErr w:type="spellEnd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Declustering</w:t>
            </w:r>
            <w:proofErr w:type="spellEnd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Collision 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Cell Exit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Dwell (</w:t>
            </w:r>
            <w:proofErr w:type="spellStart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msec</w:t>
            </w:r>
            <w:proofErr w:type="spellEnd"/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ISTD</w:t>
            </w:r>
            <w:r w:rsidRPr="00061B41">
              <w:rPr>
                <w:rFonts w:ascii="Calibri" w:eastAsia="Times New Roman" w:hAnsi="Calibri" w:cs="Times New Roman"/>
                <w:color w:val="000000"/>
              </w:rPr>
              <w:t>†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Taurochenodeoxycholic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8.63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502.3 &gt;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PHAU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Taurochenodeoxycholic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TCDCA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8.66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498.3 &gt;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Taurodeoxycholic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498.3 &gt;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Murocholic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MCA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Hyocholic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HCA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9.56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407.3 &gt; 407.3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411.4 &gt; 411.4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407.3 &gt; 407.3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Ursodeoxycholic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UDCA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Hyodeoxycholic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HDCA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Glychochenodeoxycholic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452.3 &gt;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Glychochenodeoxycholic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10.83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448.3 &gt; 74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Glycodeoxycholic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448.3 &gt;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1-Cyclohexyl Urea 3-Dodecanoic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341.3 &gt; 216.2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Taurolithocholic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TLCA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482.3 &gt;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395.3 &gt; 395.3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Chenodeoxycholic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395.3 &gt; 395.3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Deoxycholic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391.3 &gt; 391.3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Glycolithocholic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GLCA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432.3 &gt;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Trihydroxycholestanoic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TriHCA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12.74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449.3 &gt; 449.3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LCA-d5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Lithocholic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acid-d5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380.3 &gt; 380.3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Lithocholic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375.3 &gt; 375.3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LCA-d5</w:t>
            </w:r>
          </w:p>
        </w:tc>
      </w:tr>
      <w:tr w:rsidR="00061B41" w:rsidRPr="00061B41" w:rsidTr="00061B4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Dihydroxycholestanoic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acid screen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DiHCA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433.3 &gt; 433.3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LCA-d5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* - </w:t>
            </w: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were separated under conditions described in Table I. Collision-induced dissociation was performed with nitrogen 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61B41">
              <w:rPr>
                <w:rFonts w:ascii="Calibri" w:eastAsia="Times New Roman" w:hAnsi="Calibri" w:cs="Times New Roman"/>
                <w:color w:val="000000"/>
              </w:rPr>
              <w:t>at</w:t>
            </w:r>
            <w:proofErr w:type="gram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 pressure of 2.3 </w:t>
            </w: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mTorr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. Dashed lines indicate separation between mass </w:t>
            </w:r>
            <w:proofErr w:type="gramStart"/>
            <w:r w:rsidRPr="00061B41">
              <w:rPr>
                <w:rFonts w:ascii="Calibri" w:eastAsia="Times New Roman" w:hAnsi="Calibri" w:cs="Times New Roman"/>
                <w:color w:val="000000"/>
              </w:rPr>
              <w:t>spectral  multiple</w:t>
            </w:r>
            <w:proofErr w:type="gram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 reaction monitoring functions.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† - Internal Standards (ISTD) - </w:t>
            </w:r>
            <w:proofErr w:type="spellStart"/>
            <w:r w:rsidRPr="00061B41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were corrected for recoveries of listed surrogates. 1-Cyclohexylureido,3-dodecanoic acid 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(CUDA) and 1-Phenyl 3-Hexadecanoic Acid Urea (PHAU) were introduced immediately prior to analysis and used to quantify </w:t>
            </w: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61B41">
              <w:rPr>
                <w:rFonts w:ascii="Calibri" w:eastAsia="Times New Roman" w:hAnsi="Calibri" w:cs="Times New Roman"/>
                <w:color w:val="000000"/>
              </w:rPr>
              <w:t>surrogate</w:t>
            </w:r>
            <w:proofErr w:type="gram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recoveries.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†† - Compounds labeled as "screen" are compounds for which we did not have calibration standards. The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61B41" w:rsidRPr="00061B41" w:rsidTr="00061B41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61B41">
              <w:rPr>
                <w:rFonts w:ascii="Calibri" w:eastAsia="Times New Roman" w:hAnsi="Calibri" w:cs="Times New Roman"/>
                <w:color w:val="000000"/>
              </w:rPr>
              <w:t>compounds</w:t>
            </w:r>
            <w:proofErr w:type="gramEnd"/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were identified based on retention time and transition (Da) and produced qualitative data.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B41" w:rsidRPr="00061B41" w:rsidRDefault="00061B41" w:rsidP="00061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71F45" w:rsidRDefault="00371F45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351"/>
        <w:gridCol w:w="1481"/>
        <w:gridCol w:w="1394"/>
        <w:gridCol w:w="781"/>
      </w:tblGrid>
      <w:tr w:rsidR="00865CA5" w:rsidRPr="00061B41" w:rsidTr="00881C2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Table 3.</w:t>
            </w: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 Analytical surrogate recoveries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65CA5" w:rsidRPr="00061B41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Chemical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Compound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Mean ±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b/>
                <w:bCs/>
                <w:color w:val="000000"/>
              </w:rPr>
              <w:t>%RSD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Primary bile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96.7 ± 10.2%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10.5%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Primary bile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CDCA-d4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79.9 ± 11.9%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14.9%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Secondary bile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74.6 ± 14.9%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20.0%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Tertiary bile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LCA-d4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13.5 ± 3.0%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22.5%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Glycine-conjugate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93.2 ± 10.8%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11.6%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Glycine-conjugate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GCDCA-d4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96.4 ± 9.5%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9.8%</w:t>
            </w:r>
          </w:p>
        </w:tc>
      </w:tr>
      <w:tr w:rsidR="00865CA5" w:rsidRPr="00061B41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Taurine-conjugate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TCDCA-d4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91.2 ± 7.2%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7.9%</w:t>
            </w:r>
          </w:p>
        </w:tc>
      </w:tr>
      <w:tr w:rsidR="00865CA5" w:rsidRPr="00061B41" w:rsidTr="00881C23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 xml:space="preserve">† -Relative standard deviation (standard deviation divided by the </w:t>
            </w:r>
          </w:p>
        </w:tc>
      </w:tr>
      <w:tr w:rsidR="00865CA5" w:rsidRPr="00061B41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61B41">
              <w:rPr>
                <w:rFonts w:ascii="Calibri" w:eastAsia="Times New Roman" w:hAnsi="Calibri" w:cs="Times New Roman"/>
                <w:color w:val="000000"/>
              </w:rPr>
              <w:t>mean) x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CA5" w:rsidRPr="00061B41" w:rsidRDefault="00865CA5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619B5" w:rsidRDefault="00B619B5"/>
    <w:p w:rsidR="00061B41" w:rsidRDefault="00061B41"/>
    <w:sectPr w:rsidR="00061B41" w:rsidSect="00061B4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E09"/>
    <w:multiLevelType w:val="hybridMultilevel"/>
    <w:tmpl w:val="25082FAA"/>
    <w:lvl w:ilvl="0" w:tplc="ACFEFA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50C"/>
    <w:rsid w:val="00061B41"/>
    <w:rsid w:val="00106307"/>
    <w:rsid w:val="001C614C"/>
    <w:rsid w:val="001F0075"/>
    <w:rsid w:val="002B4757"/>
    <w:rsid w:val="00371F45"/>
    <w:rsid w:val="005407D3"/>
    <w:rsid w:val="00547BC3"/>
    <w:rsid w:val="00570D8E"/>
    <w:rsid w:val="00600130"/>
    <w:rsid w:val="007901E9"/>
    <w:rsid w:val="007E05DB"/>
    <w:rsid w:val="00806F2B"/>
    <w:rsid w:val="00865CA5"/>
    <w:rsid w:val="008C375E"/>
    <w:rsid w:val="00AE3574"/>
    <w:rsid w:val="00B619B5"/>
    <w:rsid w:val="00BD0812"/>
    <w:rsid w:val="00BF350C"/>
    <w:rsid w:val="00D36B09"/>
    <w:rsid w:val="00E71C48"/>
    <w:rsid w:val="00F32A8D"/>
    <w:rsid w:val="00F62776"/>
    <w:rsid w:val="00F96B63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6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F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6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LaFrano</dc:creator>
  <cp:lastModifiedBy>Michael LaFrano</cp:lastModifiedBy>
  <cp:revision>2</cp:revision>
  <dcterms:created xsi:type="dcterms:W3CDTF">2014-07-17T16:34:00Z</dcterms:created>
  <dcterms:modified xsi:type="dcterms:W3CDTF">2014-07-17T16:34:00Z</dcterms:modified>
</cp:coreProperties>
</file>